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321 FamFG — Einholung eines Gutachtens</w:t>
      </w:r>
    </w:p>
    <w:p>
      <w:r>
        <w:rPr>
          <w:color w:val="555555"/>
          <w:sz w:val="18"/>
        </w:rPr>
        <w:t xml:space="preserve">Gesetz über das Verfahren in Familiensachen und in den Angelegenheiten der freiwilligen Gerichtsbarkeit</w:t>
      </w:r>
    </w:p>
    <w:p>
      <w:r>
        <w:rPr>
          <w:color w:val="555555"/>
          <w:sz w:val="18"/>
        </w:rPr>
        <w:t xml:space="preserve">Stand: 02.07.2019 (konsolidierte Textfassung, kein amtliches Inkrafttretensdatum)</w:t>
      </w:r>
    </w:p>
    <w:p>
      <w:r>
        <w:t xml:space="preserve">(1) Vor einer Unterbringungsmaßnahme hat eine förmliche Beweisaufnahme durch Einholung eines Gutachtens über die Notwendigkeit der Maßnahme stattzufinden. Der Sachverständige hat den Betroffenen vor der Erstattung des Gutachtens persönlich zu untersuchen oder zu befragen. Das Gutachten soll sich auch auf die voraussichtliche Dauer der Unterbringungsmaßnahme erstrecken. Der Sachverständige soll Arzt für Psychiatrie sein; er muss Arzt mit Erfahrung auf dem Gebiet der Psychiatrie sein. Bei der Genehmigung einer Einwilligung in eine ärztliche Zwangsmaßnahme oder bei deren Anordnung soll der Sachverständige nicht der zwangsbehandelnde Arzt sein.</w:t>
      </w:r>
    </w:p>
    <w:p>
      <w:r>
        <w:t xml:space="preserve">(2) Für eine freiheitsentziehende Maßnahme nach § 312 Nummer 2 oder 4 genügt ein ärztliches Zeugnis.</w:t>
      </w:r>
    </w:p>
    <w:p>
      <w:r>
        <w:rPr>
          <w:color w:val="555555"/>
          <w:sz w:val="17"/>
        </w:rPr>
        <w:t xml:space="preserve">Zitiervorschlag: § 321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https://recht.nulegal.eu/gesetze/FamFG/321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