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FamFG — Termin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Gericht kann die Sache mit den Beteiligten in einem Termin erörtern. Die §§ 219, 227 Abs. 1, 2 und 4 der Zivilprozessordnung gelten entsprechend.</w:t>
      </w:r>
    </w:p>
    <w:p>
      <w:r>
        <w:t xml:space="preserve">(2) Zwischen der Ladung und dem Termin soll eine angemessene Frist liegen.</w:t>
      </w:r>
    </w:p>
    <w:p>
      <w:r>
        <w:t xml:space="preserve">(3) In geeigneten Fällen und soweit ausreichende Kapazitäten zur Verfügung stehen, soll das Gericht zur Erörterung der Sache auf Antrag eines Beteiligten oder von Amts wegen die Teilnahme per Bild- und Tonübertragung für einen Beteiligten, mehrere oder alle Beteiligte gestatten. § 128a Absatz 1, 5 und 6 der Zivilprozessordnung gilt entsprechend. Die Ablehnung eines Antrags auf Teilnahme per Bild- und Tonübertragung ist kurz zu begründen. Entscheidungen über die Gestattung oder Ablehnung der Erörterung per Bild- und Tonübertragung sind unanfechtbar.</w:t>
      </w:r>
    </w:p>
    <w:p>
      <w:r>
        <w:rPr>
          <w:color w:val="555555"/>
          <w:sz w:val="17"/>
        </w:rPr>
        <w:t xml:space="preserve">Zitiervorschlag: § 32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