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318 FamFG — Vergütung und Aufwendungsersatz des Verfahrenspflegers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Vergütung und den Aufwendungsersatz des Verfahrenspflegers gilt § 277 entsprechend.</w:t>
      </w:r>
    </w:p>
    <w:p>
      <w:r>
        <w:rPr>
          <w:color w:val="555555"/>
          <w:sz w:val="17"/>
        </w:rPr>
        <w:t xml:space="preserve">Zitiervorschlag: § 318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