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313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02.07.2019 (konsolidierte Textfassung, kein amtliches Inkrafttretensdatum)</w:t>
      </w:r>
    </w:p>
    <w:p>
      <w:r>
        <w:t xml:space="preserve">(1) Ausschließlich zuständig für Unterbringungssachen nach § 312 Nummer 1 bis 3 ist in dieser Rangfolge:</w:t>
      </w:r>
    </w:p>
    <w:p>
      <w:pPr>
        <w:ind w:left="420"/>
      </w:pPr>
      <w:r>
        <w:t xml:space="preserve">1. das Gericht, bei dem ein Verfahren zur Bestellung eines Betreuers eingeleitet oder das Betreuungsverfahren anhängig ist;</w:t>
      </w:r>
    </w:p>
    <w:p>
      <w:pPr>
        <w:ind w:left="420"/>
      </w:pPr>
      <w:r>
        <w:t xml:space="preserve">2. das Gericht, in dessen Bezirk der Betroffene seinen gewöhnlichen Aufenthalt hat;</w:t>
      </w:r>
    </w:p>
    <w:p>
      <w:pPr>
        <w:ind w:left="420"/>
      </w:pPr>
      <w:r>
        <w:t xml:space="preserve">3. das Gericht, in dessen Bezirk das Bedürfnis für die Unterbringungsmaßnahme hervortritt;</w:t>
      </w:r>
    </w:p>
    <w:p>
      <w:pPr>
        <w:ind w:left="420"/>
      </w:pPr>
      <w:r>
        <w:t xml:space="preserve">4. das Amtsgericht Schöneberg in Berlin, wenn der Betroffene Deutscher ist.</w:t>
      </w:r>
    </w:p>
    <w:p>
      <w:r>
        <w:t xml:space="preserve">(2) Für einstweilige Anordnungen oder einstweilige Maßregeln ist auch das Gericht zuständig, in dessen Bezirk das Bedürfnis für die Unterbringungsmaßnahme bekannt wird. In den Fällen einer einstweiligen Anordnung oder einstweiligen Maßregel soll es dem nach Absatz 1 Nr. 1 oder Nr. 2 zuständigen Gericht davon Mitteilung machen.</w:t>
      </w:r>
    </w:p>
    <w:p>
      <w:r>
        <w:t xml:space="preserve">(3) Ausschließlich zuständig für Unterbringungsmaßnahmen nach § 312 Nummer 4 ist das Gericht, in dessen Bezirk das Bedürfnis für die Unterbringungsmaßnahme hervortritt. Befindet sich der Betroffene bereits in einer Einrichtung zur freiheitsentziehenden Unterbringung, ist das Gericht ausschließlich zuständig, in dessen Bezirk die Einrichtung liegt.</w:t>
      </w:r>
    </w:p>
    <w:p>
      <w:r>
        <w:t xml:space="preserve">(4) Ist für die Unterbringungssache ein anderes Gericht zuständig als dasjenige, bei dem ein die Unterbringung erfassendes Verfahren zur Bestellung eines Betreuers eingeleitet ist, teilt dieses Gericht dem für die Unterbringungssache zuständigen Gericht die Aufhebung der Betreuung, den Wegfall des Aufgabenbereiches Unterbringung und einen Wechsel in der Person des Betreuers mit. Das für die Unterbringungssache zuständige Gericht teilt dem anderen Gericht die Unterbringungsmaßnahme, ihre Änderung, Verlängerung und Aufhebung mit.</w:t>
      </w:r>
    </w:p>
    <w:p>
      <w:r>
        <w:rPr>
          <w:color w:val="555555"/>
          <w:sz w:val="17"/>
        </w:rPr>
        <w:t xml:space="preserve">Zitiervorschlag: § 313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