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312 FamFG — Unterbringungssachen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Unterbringungssachen sind Verfahren, die die Genehmigung oder Anordnung einer</w:t>
      </w:r>
    </w:p>
    <w:p>
      <w:pPr>
        <w:ind w:left="420"/>
      </w:pPr>
      <w:r>
        <w:t xml:space="preserve">1. freiheitsentziehenden Unterbringung nach § 1831 Absatz 1 und 2 auch in Verbindung mit Absatz 5 des Bürgerlichen Gesetzbuchs,</w:t>
      </w:r>
    </w:p>
    <w:p>
      <w:pPr>
        <w:ind w:left="420"/>
      </w:pPr>
      <w:r>
        <w:t xml:space="preserve">2. freiheitsentziehenden Maßnahme nach § 1831 Absatz 4 auch in Verbindung mit Absatz 5 des Bürgerlichen Gesetzbuchs,</w:t>
      </w:r>
    </w:p>
    <w:p>
      <w:pPr>
        <w:ind w:left="420"/>
      </w:pPr>
      <w:r>
        <w:t xml:space="preserve">3. ärztlichen Zwangsmaßnahme, auch einschließlich einer Verbringung zu einem stationären Aufenthalt, nach § 1832 Absatz 1, 2 und 4 auch in Verbindung mit Absatz 5 des Bürgerlichen Gesetzbuchs oder</w:t>
      </w:r>
    </w:p>
    <w:p>
      <w:pPr>
        <w:ind w:left="420"/>
      </w:pPr>
      <w:r>
        <w:t xml:space="preserve">4. freiheitsentziehenden Unterbringung, freiheitsentziehenden Maßnahme oder ärztlichen Zwangsmaßnahme bei Volljährigen nach den Landesgesetzen über die Unterbringung psychisch Kranker</w:t>
      </w:r>
    </w:p>
    <w:p>
      <w:r>
        <w:t xml:space="preserve">betreffen (Unterbringungsmaßnahme).</w:t>
      </w:r>
    </w:p>
    <w:p>
      <w:r>
        <w:rPr>
          <w:color w:val="555555"/>
          <w:sz w:val="17"/>
        </w:rPr>
        <w:t xml:space="preserve">Zitiervorschlag: § 312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https://recht.nulegal.eu/gesetze/FamFG/312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