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309a FamFG — Mitteilungen an die Betreuungsbehörde</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Endet die Betreuung durch Tod des Betroffenen, so hat das Gericht dies der Betreuungsbehörde mitzuteilen.</w:t>
      </w:r>
    </w:p>
    <w:p>
      <w:r>
        <w:t xml:space="preserve">(2) Das Gericht kann der Betreuungsbehörde Umstände mitteilen, die die Eignung oder Zuverlässigkeit des Betreuers betreffen. Das Gericht unterrichtet zugleich den Betreuer über die Mitteilung und deren Inhalt. Die Unterrichtung des Betreuers unterbleibt, solange der Zweck der Mitteilung hierdurch gefährdet würde. Sie ist nachzuholen, sobald die Gründe nach Satz 3 entfallen sind.</w:t>
      </w:r>
    </w:p>
    <w:p>
      <w:r>
        <w:rPr>
          <w:color w:val="555555"/>
          <w:sz w:val="17"/>
        </w:rPr>
        <w:t xml:space="preserve">Zitiervorschlag: § 309a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https://recht.nulegal.eu/gesetze/FamFG/309a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