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FamFG — Mitteilung von Entscheidungen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Entscheidungen teilt das Gericht anderen Gerichten, Behörden oder sonstigen öffentlichen Stellen mit, soweit dies unter Beachtung berechtigter Interessen des Betroffenen erforderlich ist, um eine erhebliche Gefahr für das Wohl des Betroffenen, für Dritte oder für die öffentliche Sicherheit abzuwenden.</w:t>
      </w:r>
    </w:p>
    <w:p>
      <w:r>
        <w:t xml:space="preserve">(2) Ergeben sich im Verlauf eines gerichtlichen Verfahrens Erkenntnisse, die eine Mitteilung nach Absatz 1 vor Abschluss des Verfahrens erfordern, hat diese Mitteilung über die bereits gewonnenen Erkenntnisse unverzüglich zu erfolgen.</w:t>
      </w:r>
    </w:p>
    <w:p>
      <w:r>
        <w:t xml:space="preserve">(3) Das Gericht unterrichtet zugleich mit der Mitteilung den Betroffenen, seinen Verfahrenspfleger und seinen Betreuer über Inhalt und Empfänger der Mitteilung. Die Unterrichtung des Betroffenen unterbleibt, wenn</w:t>
      </w:r>
    </w:p>
    <w:p>
      <w:pPr>
        <w:ind w:left="420"/>
      </w:pPr>
      <w:r>
        <w:t xml:space="preserve">1. der Zweck des Verfahrens oder der Zweck der Mitteilung durch die Unterrichtung gefährdet würde,</w:t>
      </w:r>
    </w:p>
    <w:p>
      <w:pPr>
        <w:ind w:left="420"/>
      </w:pPr>
      <w:r>
        <w:t xml:space="preserve">2. nach ärztlichem Zeugnis hiervon erhebliche Nachteile für die Gesundheit des Betroffenen zu besorgen sind oder</w:t>
      </w:r>
    </w:p>
    <w:p>
      <w:pPr>
        <w:ind w:left="420"/>
      </w:pPr>
      <w:r>
        <w:t xml:space="preserve">3. der Betroffene nach dem unmittelbaren Eindruck des Gerichts offensichtlich nicht in der Lage ist, den Inhalt der Unterrichtung zu verstehen.</w:t>
      </w:r>
    </w:p>
    <w:p>
      <w:r>
        <w:t xml:space="preserve">Sobald die Gründe nach Satz 2 entfallen, ist die Unterrichtung nachzuholen.</w:t>
      </w:r>
    </w:p>
    <w:p>
      <w:r>
        <w:t xml:space="preserve">(4) Der Inhalt der Mitteilung, die Art und Weise ihrer Übermittlung, ihr Empfänger, die Unterrichtung des Betroffenen oder im Fall ihres Unterbleibens deren Gründe sowie die Unterrichtung des Verfahrenspflegers und des Betreuers sind aktenkundig zu machen.</w:t>
      </w:r>
    </w:p>
    <w:p>
      <w:r>
        <w:rPr>
          <w:color w:val="555555"/>
          <w:sz w:val="17"/>
        </w:rPr>
        <w:t xml:space="preserve">Zitiervorschlag: § 308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https://recht.nulegal.eu/gesetze/FamFG/308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