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301 FamFG — Einstweilige Anordnung bei gesteigerter Dringlichkeit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Bei Gefahr im Verzug kann das Gericht eine einstweilige Anordnung nach § 300 bereits vor der persönlichen Anhörung des Betroffenen sowie vor Anhörung und Bestellung des Verfahrenspflegers erlassen. Diese Verfahrenshandlungen sind unverzüglich nachzuholen.</w:t>
      </w:r>
    </w:p>
    <w:p>
      <w:r>
        <w:t xml:space="preserve">(2) Das Gericht ist bei Gefahr im Verzug bei der Auswahl des Betreuers nicht an § 1816 Absatz 2 und 3 des Bürgerlichen Gesetzbuchs gebunden.</w:t>
      </w:r>
    </w:p>
    <w:p>
      <w:r>
        <w:rPr>
          <w:color w:val="555555"/>
          <w:sz w:val="17"/>
        </w:rPr>
        <w:t xml:space="preserve">Zitiervorschlag: § 301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https://recht.nulegal.eu/gesetze/FamFG/301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