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300 FamFG — Einstweilige Anordnung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durch einstweilige Anordnung einen vorläufigen Betreuer bestellen oder einen vorläufigen Einwilligungsvorbehalt anordnen, wenn</w:t>
      </w:r>
    </w:p>
    <w:p>
      <w:pPr>
        <w:ind w:left="420"/>
      </w:pPr>
      <w:r>
        <w:t xml:space="preserve">1. dringende Gründe für die Annahme bestehen, dass die Voraussetzungen für die Bestellung eines Betreuers oder die Anordnung eines Einwilligungsvorbehalts gegeben sind und ein dringendes Bedürfnis für ein sofortiges Tätigwerden besteht,</w:t>
      </w:r>
    </w:p>
    <w:p>
      <w:pPr>
        <w:ind w:left="420"/>
      </w:pPr>
      <w:r>
        <w:t xml:space="preserve">2. ein ärztliches Zeugnis über den Zustand des Betroffenen vorliegt,</w:t>
      </w:r>
    </w:p>
    <w:p>
      <w:pPr>
        <w:ind w:left="420"/>
      </w:pPr>
      <w:r>
        <w:t xml:space="preserve">3. im Fall des § 276 ein Verfahrenspfleger bestellt und angehört worden ist und</w:t>
      </w:r>
    </w:p>
    <w:p>
      <w:pPr>
        <w:ind w:left="420"/>
      </w:pPr>
      <w:r>
        <w:t xml:space="preserve">4. der Betroffene persönlich angehört worden ist.</w:t>
      </w:r>
    </w:p>
    <w:p>
      <w:r>
        <w:t xml:space="preserve">Eine Anhörung des Betroffenen im Wege der Rechtshilfe ist abweichend von § 278 Abs. 3 zulässig.</w:t>
      </w:r>
    </w:p>
    <w:p>
      <w:r>
        <w:t xml:space="preserve">(2) Das Gericht kann durch einstweilige Anordnung einen Betreuer entlassen, wenn dringende Gründe für die Annahme bestehen, dass die Voraussetzungen für die Entlassung vorliegen und ein dringendes Bedürfnis für ein sofortiges Tätigwerden besteht.</w:t>
      </w:r>
    </w:p>
    <w:p>
      <w:r>
        <w:rPr>
          <w:color w:val="555555"/>
          <w:sz w:val="17"/>
        </w:rPr>
        <w:t xml:space="preserve">Zitiervorschlag: § 300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