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FamFG — Förmliche Beweisaufnahme</w:t>
      </w:r>
    </w:p>
    <w:p>
      <w:r>
        <w:rPr>
          <w:color w:val="555555"/>
          <w:sz w:val="18"/>
        </w:rPr>
        <w:t xml:space="preserve">Gesetz über das Verfahren in Familiensachen und in den Angelegenheiten der freiwilligen Gerichtsbarkeit</w:t>
      </w:r>
    </w:p>
    <w:p>
      <w:r>
        <w:rPr>
          <w:color w:val="555555"/>
          <w:sz w:val="18"/>
        </w:rPr>
        <w:t xml:space="preserve">Stand: 20.07.2024 (konsolidierte Textfassung, kein amtliches Inkrafttretensdatum)</w:t>
      </w:r>
    </w:p>
    <w:p>
      <w:r>
        <w:t xml:space="preserve">(1) Das Gericht entscheidet nach pflichtgemäßem Ermessen, ob es die entscheidungserheblichen Tatsachen durch eine förmliche Beweisaufnahme entsprechend der Zivilprozessordnung feststellt.</w:t>
      </w:r>
    </w:p>
    <w:p>
      <w:r>
        <w:t xml:space="preserve">(2) Eine förmliche Beweisaufnahme hat stattzufinden, wenn es in diesem Gesetz vorgesehen ist.</w:t>
      </w:r>
    </w:p>
    <w:p>
      <w:r>
        <w:t xml:space="preserve">(3) Eine förmliche Beweisaufnahme über die Richtigkeit einer Tatsachenbehauptung soll stattfinden, wenn das Gericht seine Entscheidung maßgeblich auf die Feststellung dieser Tatsache stützen will und die Richtigkeit von einem Beteiligten ausdrücklich bestritten wird.</w:t>
      </w:r>
    </w:p>
    <w:p>
      <w:r>
        <w:t xml:space="preserve">(4) Den Beteiligten ist Gelegenheit zu geben, zum Ergebnis einer förmlichen Beweisaufnahme Stellung zu nehmen, soweit dies zur Aufklärung des Sachverhalts oder zur Gewährung rechtlichen Gehörs erforderlich ist.</w:t>
      </w:r>
    </w:p>
    <w:p>
      <w:r>
        <w:t xml:space="preserve">(5) In geeigneten Fällen und soweit ausreichende Kapazitäten zur Verfügung stehen, kann das Gericht auf Antrag oder von Amts wegen die Vernehmung eines Zeugen oder Sachverständigen per Bild- und Tonübertragung gestatten. Das Antragsrecht steht den Beteiligten, Zeugen und Sachverständigen zu. § 128a Absatz 1, 5 und 6 der Zivilprozessordnung gilt entsprechend. Entscheidungen über die Gestattung oder Ablehnung der Vernehmung per Bild- und Tonübertragung sind unanfechtbar.</w:t>
      </w:r>
    </w:p>
    <w:p>
      <w:r>
        <w:rPr>
          <w:color w:val="555555"/>
          <w:sz w:val="17"/>
        </w:rPr>
        <w:t xml:space="preserve">Zitiervorschlag: § 30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