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299 FamFG — Persönliche Anhörung in anderen Genehmigungsverfahren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Das Gericht hat den Betroffenen vor einer Entscheidung nach § 1833 Absatz 3, § 1820 Absatz 5 Satz 2 des Bürgerlichen Gesetzbuchs oder § 3 Absatz 3 des Gesetzes über die Selbstbestimmung in Bezug auf den Geschlechtseintrag persönlich anzuhören. Das Gericht soll den Betroffenen vor einer Entscheidung nach den §§ 1850 bis 1854 persönlich anhören.</w:t>
      </w:r>
    </w:p>
    <w:p>
      <w:r>
        <w:rPr>
          <w:color w:val="555555"/>
          <w:sz w:val="17"/>
        </w:rPr>
        <w:t xml:space="preserve">Zitiervorschlag: § 299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https://recht.nulegal.eu/gesetze/FamFG/299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