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298 FamFG — Verfahren in Fällen des § 1829 des Bürgerlichen Gesetzbuchs</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Das Gericht darf die Einwilligung, die Nichteinwilligung oder den Widerruf einer Einwilligung eines Betreuers oder eines Bevollmächtigten (§ 1829 Absatz 1, 2 und 5 des Bürgerlichen Gesetzbuchs) nur genehmigen, wenn es den Betroffenen zuvor persönlich angehört hat. Das Gericht soll die sonstigen Beteiligten anhören. Auf Verlangen des Betroffenen hat das Gericht eine ihm nahestehende Person anzuhören, wenn dies ohne erhebliche Verzögerung möglich ist.</w:t>
      </w:r>
    </w:p>
    <w:p>
      <w:r>
        <w:t xml:space="preserve">(2) Die Bestellung eines Verfahrenspflegers ist stets erforderlich, wenn Gegenstand des Verfahrens eine Genehmigung nach § 1829 Absatz 2 des Bürgerlichen Gesetzbuchs ist.</w:t>
      </w:r>
    </w:p>
    <w:p>
      <w:r>
        <w:t xml:space="preserve">(3) Vor der Genehmigung ist ein Sachverständigengutachten einzuholen. Der Sachverständige soll nicht auch der behandelnde Arzt sein.</w:t>
      </w:r>
    </w:p>
    <w:p>
      <w:r>
        <w:rPr>
          <w:color w:val="555555"/>
          <w:sz w:val="17"/>
        </w:rPr>
        <w:t xml:space="preserve">Zitiervorschlag: § 298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