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297 FamFG — Sterilisation</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Gericht hat den Betroffenen vor der Genehmigung einer Einwilligung des Betreuers in eine Sterilisation (§ 1830 Absatz 2 des Bürgerlichen Gesetzbuchs) persönlich anzuhören und sich einen persönlichen Eindruck von ihm zu verschaffen. Es hat den Betroffenen über den möglichen Verlauf des Verfahrens zu unterrichten.</w:t>
      </w:r>
    </w:p>
    <w:p>
      <w:r>
        <w:t xml:space="preserve">(2) Das Gericht hat die zuständige Behörde anzuhören, wenn es der Betroffene verlangt oder es der Sachaufklärung dient.</w:t>
      </w:r>
    </w:p>
    <w:p>
      <w:r>
        <w:t xml:space="preserve">(3) Das Gericht hat die sonstigen Beteiligten anzuhören. Auf Verlangen des Betroffenen hat das Gericht eine ihm nahestehende Person anzuhören, wenn dies ohne erhebliche Verzögerung möglich ist.</w:t>
      </w:r>
    </w:p>
    <w:p>
      <w:r>
        <w:t xml:space="preserve">(4) Verfahrenshandlungen nach den Absätzen 1 bis 3 können nicht durch den ersuchten Richter vorgenommen werden.</w:t>
      </w:r>
    </w:p>
    <w:p>
      <w:r>
        <w:t xml:space="preserve">(5) Die Bestellung eines Verfahrenspflegers ist stets erforderlich, sofern sich der Betroffene nicht von einem Rechtsanwalt oder einem anderen geeigneten Verfahrensbevollmächtigten vertreten lässt.</w:t>
      </w:r>
    </w:p>
    <w:p>
      <w:r>
        <w:t xml:space="preserve">(6) Die Genehmigung darf erst erteilt werden, nachdem durch förmliche Beweisaufnahme Gutachten von Sachverständigen eingeholt sind, die sich auf die medizinischen, psychologischen, sozialen, sonderpädagogischen und sexualpädagogischen Gesichtspunkte erstrecken. Die Sachverständigen haben den Betroffenen vor Erstattung des Gutachtens persönlich zu untersuchen oder zu befragen. Sachverständiger und ausführender Arzt dürfen nicht personengleich sein.</w:t>
      </w:r>
    </w:p>
    <w:p>
      <w:r>
        <w:t xml:space="preserve">(7) Die Genehmigung wird wirksam mit der Bekanntgabe an den für die Entscheidung über die Einwilligung in die Sterilisation bestellten Betreuer und</w:t>
      </w:r>
    </w:p>
    <w:p>
      <w:pPr>
        <w:ind w:left="420"/>
      </w:pPr>
      <w:r>
        <w:t xml:space="preserve">1. an den Verfahrenspfleger oder</w:t>
      </w:r>
    </w:p>
    <w:p>
      <w:pPr>
        <w:ind w:left="420"/>
      </w:pPr>
      <w:r>
        <w:t xml:space="preserve">2. den Verfahrensbevollmächtigten, wenn ein Verfahrenspfleger nicht bestellt wurde.</w:t>
      </w:r>
    </w:p>
    <w:p>
      <w:r>
        <w:t xml:space="preserve">(8) Die Entscheidung über die Genehmigung ist dem Betroffenen stets selbst bekannt zu machen. Von der Bekanntgabe der Gründe an den Betroffenen kann nicht abgesehen werden. Der zuständigen Behörde ist die Entscheidung stets bekannt zu geben.</w:t>
      </w:r>
    </w:p>
    <w:p>
      <w:r>
        <w:rPr>
          <w:color w:val="555555"/>
          <w:sz w:val="17"/>
        </w:rPr>
        <w:t xml:space="preserve">Zitiervorschlag: § 297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