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294 FamFG — Aufhebung und Einschränkung der Betreuung oder des Einwilligungsvorbehalts</w:t>
      </w:r>
    </w:p>
    <w:p>
      <w:r>
        <w:rPr>
          <w:color w:val="555555"/>
          <w:sz w:val="18"/>
        </w:rPr>
        <w:t xml:space="preserve">Gesetz über das Verfahren in Familiensachen und in den Angelegenheiten der freiwilligen Gerichtsbarkeit</w:t>
      </w:r>
    </w:p>
    <w:p>
      <w:r>
        <w:rPr>
          <w:color w:val="555555"/>
          <w:sz w:val="18"/>
        </w:rPr>
        <w:t xml:space="preserve">Stand: 01.01.2023 (konsolidierte Textfassung, kein amtliches Inkrafttretensdatum)</w:t>
      </w:r>
    </w:p>
    <w:p>
      <w:r>
        <w:t xml:space="preserve">(1) Für die Aufhebung der Betreuung oder der Anordnung eines Einwilligungsvorbehalts und für die Einschränkung des Aufgabenkreises des Betreuers oder des Kreises der einwilligungsbedürftigen Willenserklärungen gilt § 279 Absatz 1, 3 und 4 sowie § 288 Absatz 2 Satz 1 entsprechend. Das Gericht hat die zuständige Behörde nur anzuhören, wenn es der Betroffene verlangt oder es zur Sachaufklärung erforderlich ist.</w:t>
      </w:r>
    </w:p>
    <w:p>
      <w:r>
        <w:t xml:space="preserve">(2) Hat das Gericht nach § 281 Absatz 1 von der Einholung eines Gutachtens abgesehen, ist dies nachzuholen, wenn ein Antrag des Betroffenen auf Aufhebung der Betreuung oder Einschränkung des Aufgabenkreises erstmals abgelehnt werden soll.</w:t>
      </w:r>
    </w:p>
    <w:p>
      <w:r>
        <w:t xml:space="preserve">(3) Über die Aufhebung der Betreuung oder des Einwilligungsvorbehalts hat das Gericht spätestens sieben Jahre nach der Anordnung dieser Maßnahmen zu entscheiden. Ist die Maßnahme gegen den erklärten Willen des Betroffenen angeordnet worden, hat die erstmalige Entscheidung über ihre Aufhebung spätestens zwei Jahre nach der Anordnung zu erfolgen.</w:t>
      </w:r>
    </w:p>
    <w:p>
      <w:r>
        <w:rPr>
          <w:color w:val="555555"/>
          <w:sz w:val="17"/>
        </w:rPr>
        <w:t xml:space="preserve">Zitiervorschlag: § 294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https://recht.nulegal.eu/gesetze/FamFG/294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