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FamFG — Beweiserhebung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erhebt die erforderlichen Beweise in geeigneter Form. Es ist hierbei an das Vorbringen der Beteiligten nicht gebunden.</w:t>
      </w:r>
    </w:p>
    <w:p>
      <w:r>
        <w:t xml:space="preserve">(2) Die Vorschriften der Zivilprozessordnung über die Vernehmung bei Amtsverschwiegenheit und das Recht zur Zeugnisverweigerung gelten für die Befragung von Auskunftspersonen entsprechend.</w:t>
      </w:r>
    </w:p>
    <w:p>
      <w:r>
        <w:t xml:space="preserve">(3) Das Gericht hat die Ergebnisse der Beweiserhebung aktenkundig zu machen.</w:t>
      </w:r>
    </w:p>
    <w:p>
      <w:r>
        <w:rPr>
          <w:color w:val="555555"/>
          <w:sz w:val="17"/>
        </w:rPr>
        <w:t xml:space="preserve">Zitiervorschlag: § 29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