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288 FamFG — Bekanntgabe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Von der Bekanntgabe der Gründe eines Beschlusses an den Betroffenen kann abgesehen werden, wenn dies nach ärztlichem Zeugnis erforderlich ist, um erhebliche Nachteile für seine Gesundheit zu vermeiden.</w:t>
      </w:r>
    </w:p>
    <w:p>
      <w:r>
        <w:t xml:space="preserve">(2) Das Gericht hat der zuständigen Behörde den Beschluss über die Bestellung eines Betreuers oder die Anordnung eines Einwilligungsvorbehalts oder Beschlüsse über Umfang, Inhalt oder Bestand einer solchen Maßnahme stets bekannt zu geben. Andere Beschlüsse sind der zuständigen Behörde bekannt zu geben, wenn sie vor deren Erlass angehört wurde.</w:t>
      </w:r>
    </w:p>
    <w:p>
      <w:r>
        <w:rPr>
          <w:color w:val="555555"/>
          <w:sz w:val="17"/>
        </w:rPr>
        <w:t xml:space="preserve">Zitiervorschlag: § 288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