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286 FamFG — Inhalt der Beschlussformel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Beschlussformel enthält im Fall der Bestellung eines Betreuers auch</w:t>
      </w:r>
    </w:p>
    <w:p>
      <w:pPr>
        <w:ind w:left="420"/>
      </w:pPr>
      <w:r>
        <w:t xml:space="preserve">1. die Bezeichnung des Aufgabenkreises des Betreuers unter Benennung der einzelnen Aufgabenbereiche;</w:t>
      </w:r>
    </w:p>
    <w:p>
      <w:pPr>
        <w:ind w:left="420"/>
      </w:pPr>
      <w:r>
        <w:t xml:space="preserve">2. bei Bestellung eines Vereinsbetreuers die Bezeichnung als Vereinsbetreuer und die des Vereins;</w:t>
      </w:r>
    </w:p>
    <w:p>
      <w:pPr>
        <w:ind w:left="420"/>
      </w:pPr>
      <w:r>
        <w:t xml:space="preserve">3. bei Bestellung eines Behördenbetreuers die Bezeichnung als Behördenbetreuer und die der Behörde;</w:t>
      </w:r>
    </w:p>
    <w:p>
      <w:pPr>
        <w:ind w:left="420"/>
      </w:pPr>
      <w:r>
        <w:t xml:space="preserve">4. bei Bestellung eines beruflichen Betreuers die Bezeichnung als beruflicher Betreuer.</w:t>
      </w:r>
    </w:p>
    <w:p>
      <w:r>
        <w:t xml:space="preserve">(2) Die Beschlussformel enthält im Fall der Anordnung eines Einwilligungsvorbehalts die Bezeichnung des Kreises der einwilligungsbedürftigen Willenserklärungen.</w:t>
      </w:r>
    </w:p>
    <w:p>
      <w:r>
        <w:t xml:space="preserve">(3) Der Zeitpunkt, bis zu dem das Gericht über die Aufhebung oder Verlängerung einer Maßnahme nach Absatz 1 oder Absatz 2 zu entscheiden hat, ist in der Beschlussformel zu bezeichnen.</w:t>
      </w:r>
    </w:p>
    <w:p>
      <w:r>
        <w:rPr>
          <w:color w:val="555555"/>
          <w:sz w:val="17"/>
        </w:rPr>
        <w:t xml:space="preserve">Zitiervorschlag: § 286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