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284 FamFG — Unterbringung zur Begutachtung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nach Anhörung eines Sachverständigen beschließen, dass der Betroffene auf bestimmte Dauer untergebracht und beobachtet wird, soweit dies zur Vorbereitung des Gutachtens erforderlich ist. Der Betroffene ist vorher persönlich anzuhören.</w:t>
      </w:r>
    </w:p>
    <w:p>
      <w:r>
        <w:t xml:space="preserve">(2) Die Unterbringung darf die Dauer von sechs Wochen nicht überschreiten. Reicht dieser Zeitraum nicht aus, um die erforderlichen Erkenntnisse für das Gutachten zu erlangen, kann die Unterbringung durch gerichtlichen Beschluss bis zu einer Gesamtdauer von drei Monaten verlängert werden.</w:t>
      </w:r>
    </w:p>
    <w:p>
      <w:r>
        <w:t xml:space="preserve">(3) § 283 Abs. 2 und 3 gilt entsprechend. Gegen Beschlüsse nach den Absätzen 1 und 2 findet die sofortige Beschwerde nach den §§ 567 bis 572 der Zivilprozessordnung statt.</w:t>
      </w:r>
    </w:p>
    <w:p>
      <w:r>
        <w:rPr>
          <w:color w:val="555555"/>
          <w:sz w:val="17"/>
        </w:rPr>
        <w:t xml:space="preserve">Zitiervorschlag: § 284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