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FamFG — Verfahrensleitung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hat darauf hinzuwirken, dass die Beteiligten sich rechtzeitig über alle erheblichen Tatsachen erklären und ungenügende tatsächliche Angaben ergänzen. Es hat die Beteiligten auf einen rechtlichen Gesichtspunkt hinzuweisen, wenn es ihn anders beurteilt als die Beteiligten und seine Entscheidung darauf stützen will.</w:t>
      </w:r>
    </w:p>
    <w:p>
      <w:r>
        <w:t xml:space="preserve">(2) In Antragsverfahren hat das Gericht auch darauf hinzuwirken, dass Formfehler beseitigt und sachdienliche Anträge gestellt werden.</w:t>
      </w:r>
    </w:p>
    <w:p>
      <w:r>
        <w:t xml:space="preserve">(3) Hinweise nach dieser Vorschrift hat das Gericht so früh wie möglich zu erteilen und aktenkundig zu machen.</w:t>
      </w:r>
    </w:p>
    <w:p>
      <w:r>
        <w:t xml:space="preserve">(4) Über Termine und persönliche Anhörungen hat das Gericht einen Vermerk zu fertigen; für die Niederschrift des Vermerks kann ein Urkundsbeamter der Geschäftsstelle hinzugezogen werden, wenn dies auf Grund des zu erwartenden Umfangs des Vermerks, in Anbetracht der Schwierigkeit der Sache oder aus einem sonstigen wichtigen Grund erforderlich ist. In den Vermerk sind die wesentlichen Vorgänge des Termins und der persönlichen Anhörung aufzunehmen. Über den Versuch einer gütlichen Einigung vor einem Güterichter nach § 36 Absatz 5 wird ein Vermerk nur angefertigt, wenn alle Beteiligten sich einverstanden erklären. Die Herstellung durch Aufzeichnung auf Datenträger in der Form des § 14 Abs. 3 ist möglich.</w:t>
      </w:r>
    </w:p>
    <w:p>
      <w:r>
        <w:rPr>
          <w:color w:val="555555"/>
          <w:sz w:val="17"/>
        </w:rPr>
        <w:t xml:space="preserve">Zitiervorschlag: § 28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