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272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Ausschließlich zuständig ist in dieser Rangfolge:</w:t>
      </w:r>
    </w:p>
    <w:p>
      <w:pPr>
        <w:ind w:left="420"/>
      </w:pPr>
      <w:r>
        <w:t xml:space="preserve">1. das Gericht, bei dem die Betreuung anhängig ist, wenn bereits ein Betreuer bestellt ist;</w:t>
      </w:r>
    </w:p>
    <w:p>
      <w:pPr>
        <w:ind w:left="420"/>
      </w:pPr>
      <w:r>
        <w:t xml:space="preserve">2. das Gericht, in dessen Bezirk der Betroffene seinen gewöhnlichen Aufenthalt hat;</w:t>
      </w:r>
    </w:p>
    <w:p>
      <w:pPr>
        <w:ind w:left="420"/>
      </w:pPr>
      <w:r>
        <w:t xml:space="preserve">3. das Gericht, in dessen Bezirk das Bedürfnis der Fürsorge hervortritt;</w:t>
      </w:r>
    </w:p>
    <w:p>
      <w:pPr>
        <w:ind w:left="420"/>
      </w:pPr>
      <w:r>
        <w:t xml:space="preserve">4. das Amtsgericht Schöneberg in Berlin, wenn der Betroffene Deutscher ist.</w:t>
      </w:r>
    </w:p>
    <w:p>
      <w:r>
        <w:t xml:space="preserve">(2) Für einstweilige Anordnungen nach § 300 oder vorläufige Maßregeln ist auch das Gericht zuständig, in dessen Bezirk das Bedürfnis der Fürsorge bekannt wird. Es soll die angeordneten Maßregeln dem nach Absatz 1 Nr. 1, 2 oder Nr. 4 zuständigen Gericht mitteilen.</w:t>
      </w:r>
    </w:p>
    <w:p>
      <w:r>
        <w:rPr>
          <w:color w:val="555555"/>
          <w:sz w:val="17"/>
        </w:rPr>
        <w:t xml:space="preserve">Zitiervorschlag: § 272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