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271 FamFG — Betreuungssachen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Betreuungssachen sind</w:t>
      </w:r>
    </w:p>
    <w:p>
      <w:pPr>
        <w:ind w:left="420"/>
      </w:pPr>
      <w:r>
        <w:t xml:space="preserve">1. Verfahren zur Bestellung eines Betreuers und zur Aufhebung der Betreuung,</w:t>
      </w:r>
    </w:p>
    <w:p>
      <w:pPr>
        <w:ind w:left="420"/>
      </w:pPr>
      <w:r>
        <w:t xml:space="preserve">2. Verfahren zur Anordnung eines Einwilligungsvorbehalts sowie</w:t>
      </w:r>
    </w:p>
    <w:p>
      <w:pPr>
        <w:ind w:left="420"/>
      </w:pPr>
      <w:r>
        <w:t xml:space="preserve">3. sonstige Verfahren, die die rechtliche Betreuung eines Volljährigen (§§ 1814 bis 1881 des Bürgerlichen Gesetzbuchs) betreffen, soweit es sich nicht um eine Unterbringungssache handelt.</w:t>
      </w:r>
    </w:p>
    <w:p>
      <w:r>
        <w:rPr>
          <w:color w:val="555555"/>
          <w:sz w:val="17"/>
        </w:rPr>
        <w:t xml:space="preserve">Zitiervorschlag: § 271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