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270 FamFG — Anwendbare Vorschriften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Lebenspartnerschaftssachen nach § 269 Abs. 1 Nr. 1 sind die für Verfahren auf Scheidung geltenden Vorschriften, in Lebenspartnerschaftssachen nach § 269 Abs. 1 Nr. 2 die für Verfahren auf Feststellung des Bestehens oder Nichtbestehens einer Ehe zwischen den Beteiligten geltenden Vorschriften entsprechend anzuwenden. In den Lebenspartnerschaftssachen nach § 269 Abs. 1 Nr. 3 bis 12 sind die in Familiensachen nach § 111 Nr. 2, 4, 5 und 7 bis 9 jeweils geltenden Vorschriften entsprechend anzuwenden.</w:t>
      </w:r>
    </w:p>
    <w:p>
      <w:r>
        <w:t xml:space="preserve">(2) In sonstigen Lebenspartnerschaftssachen nach § 269 Abs. 2 und 3 sind die in sonstigen Familiensachen nach § 111 Nr. 10 geltenden Vorschriften entsprechend anzuwenden.</w:t>
      </w:r>
    </w:p>
    <w:p>
      <w:r>
        <w:rPr>
          <w:color w:val="555555"/>
          <w:sz w:val="17"/>
        </w:rPr>
        <w:t xml:space="preserve">Zitiervorschlag: § 270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