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266 FamFG — Sonstige Familiensachen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Sonstige Familiensachen sind Verfahren, die</w:t>
      </w:r>
    </w:p>
    <w:p>
      <w:pPr>
        <w:ind w:left="420"/>
      </w:pPr>
      <w:r>
        <w:t xml:space="preserve">1. Ansprüche zwischen miteinander verlobten oder ehemals verlobten Personen im Zusammenhang mit der Beendigung des Verlöbnisses sowie in den Fällen der §§ 1298 und 1299 des Bürgerlichen Gesetzbuchs zwischen einer solchen und einer dritten Person,</w:t>
      </w:r>
    </w:p>
    <w:p>
      <w:pPr>
        <w:ind w:left="420"/>
      </w:pPr>
      <w:r>
        <w:t xml:space="preserve">2. aus der Ehe herrührende Ansprüche,</w:t>
      </w:r>
    </w:p>
    <w:p>
      <w:pPr>
        <w:ind w:left="420"/>
      </w:pPr>
      <w:r>
        <w:t xml:space="preserve">3. Ansprüche zwischen miteinander verheirateten oder ehemals miteinander verheirateten Personen oder zwischen einer solchen und einem Elternteil im Zusammenhang mit Trennung oder Scheidung oder Aufhebung der Ehe,</w:t>
      </w:r>
    </w:p>
    <w:p>
      <w:pPr>
        <w:ind w:left="420"/>
      </w:pPr>
      <w:r>
        <w:t xml:space="preserve">4. aus dem Eltern-Kind-Verhältnis herrührende Ansprüche oder</w:t>
      </w:r>
    </w:p>
    <w:p>
      <w:pPr>
        <w:ind w:left="420"/>
      </w:pPr>
      <w:r>
        <w:t xml:space="preserve">5. aus dem Umgangsrecht herrührende Ansprüche</w:t>
      </w:r>
    </w:p>
    <w:p>
      <w:r>
        <w:t xml:space="preserve">betreffen, sofern nicht die Zuständigkeit der Arbeitsgerichte gegeben ist oder das Verfahren eines der in § 348 Abs. 1 Satz 2 Nr. 2 Buchstabe a bis k der Zivilprozessordnung genannten Sachgebiete, das Wohnungseigentumsrecht oder das Erbrecht betrifft und sofern es sich nicht bereits nach anderen Vorschriften um eine Familiensache handelt.</w:t>
      </w:r>
    </w:p>
    <w:p>
      <w:r>
        <w:t xml:space="preserve">(2) Sonstige Familiensachen sind auch Verfahren über einen Antrag nach § 1357 Abs. 2 Satz 1 des Bürgerlichen Gesetzbuchs.</w:t>
      </w:r>
    </w:p>
    <w:p>
      <w:r>
        <w:rPr>
          <w:color w:val="555555"/>
          <w:sz w:val="17"/>
        </w:rPr>
        <w:t xml:space="preserve">Zitiervorschlag: § 266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