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264 FamFG — Verfahren auf Stundung und auf Übertragung von Vermögensgegenständen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Verfahren nach den §§ 1382 und 1383 des Bürgerlichen Gesetzbuchs sowie nach § 1519 des Bürgerlichen Gesetzbuchs in Verbindung mit Artikel 12 Absatz 2 Satz 2 und Artikel 17 des Abkommens vom 4. Februar 2010 zwischen der Bundesrepublik Deutschland und der Französischen Republik über den Güterstand der Wahl-Zugewinngemeinschaft wird die Entscheidung des Gerichts erst mit Rechtskraft wirksam. Eine Abänderung oder Wiederaufnahme ist ausgeschlossen.</w:t>
      </w:r>
    </w:p>
    <w:p>
      <w:r>
        <w:t xml:space="preserve">(2) In dem Beschluss, in dem über den Antrag auf Stundung der Ausgleichsforderung entschieden wird, kann das Gericht auf Antrag des Gläubigers auch die Verpflichtung des Schuldners zur Zahlung der Ausgleichsforderung aussprechen.</w:t>
      </w:r>
    </w:p>
    <w:p>
      <w:r>
        <w:rPr>
          <w:color w:val="555555"/>
          <w:sz w:val="17"/>
        </w:rPr>
        <w:t xml:space="preserve">Zitiervorschlag: § 264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