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261 FamFG — Güterrechtssachen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Güterrechtssachen sind Verfahren, die Ansprüche aus dem ehelichen Güterrecht betreffen, auch wenn Dritte an dem Verfahren beteiligt sind.</w:t>
      </w:r>
    </w:p>
    <w:p>
      <w:r>
        <w:t xml:space="preserve">(2) Güterrechtssachen sind auch Verfahren nach § 1365 Absatz 2, § 1369 Absatz 2, den §§ 1382, 1383, 1426, 1430 und 1452 des Bürgerlichen Gesetzbuchs sowie nach § 1519 des Bürgerlichen Gesetzbuchs in Verbindung mit Artikel 5 Absatz 2, Artikel 12 Absatz 2 Satz 2 und Artikel 17 des Abkommens vom 4. Februar 2010 zwischen der Bundesrepublik Deutschland und der Französischen Republik über den Güterstand der Wahl-Zugewinngemeinschaft.</w:t>
      </w:r>
    </w:p>
    <w:p>
      <w:r>
        <w:rPr>
          <w:color w:val="555555"/>
          <w:sz w:val="17"/>
        </w:rPr>
        <w:t xml:space="preserve">Zitiervorschlag: § 261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