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260 FamFG — Bestimmung des Amtsgerichts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Die Landesregierungen werden ermächtigt, die vereinfachten Verfahren über den Unterhalt Minderjähriger durch Rechtsverordnung einem Amtsgericht für die Bezirke mehrerer Amtsgerichte zuzuweisen, wenn dies ihrer schnelleren und kostengünstigeren Erledigung dient. Die Landesregierungen können die Ermächtigung durch Rechtsverordnung auf die Landesjustizverwaltungen übertragen.</w:t>
      </w:r>
    </w:p>
    <w:p>
      <w:r>
        <w:t xml:space="preserve">(2) Bei dem Amtsgericht, das zuständig wäre, wenn die Landesregierung oder die Landesjustizverwaltung das Verfahren nach Absatz 1 nicht einem anderen Amtsgericht zugewiesen hätte, kann das Kind Anträge und Erklärungen mit der gleichen Wirkung einreichen oder anbringen wie bei dem anderen Amtsgericht.</w:t>
      </w:r>
    </w:p>
    <w:p>
      <w:r>
        <w:rPr>
          <w:color w:val="555555"/>
          <w:sz w:val="17"/>
        </w:rPr>
        <w:t xml:space="preserve">Zitiervorschlag: § 260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