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258 FamFG — Sonderregelungen für maschinelle Bearbeitung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vereinfachten Verfahren ist eine maschinelle Bearbeitung zulässig. § 702 Absatz 2 Satz 1, 3 und 4 der Zivilprozessordnung gilt entsprechend.</w:t>
      </w:r>
    </w:p>
    <w:p>
      <w:r>
        <w:t xml:space="preserve">(2) Bei maschineller Bearbeitung werden Beschlüsse, Verfügungen und Ausfertigungen mit dem Gerichtssiegel versehen; einer Unterschrift bedarf es nicht.</w:t>
      </w:r>
    </w:p>
    <w:p>
      <w:r>
        <w:rPr>
          <w:color w:val="555555"/>
          <w:sz w:val="17"/>
        </w:rPr>
        <w:t xml:space="preserve">Zitiervorschlag: § 258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