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255 FamFG — Streitiges Verfahren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Fall des § 254 wird auf Antrag eines Beteiligten das streitige Verfahren durchgeführt.</w:t>
      </w:r>
    </w:p>
    <w:p>
      <w:r>
        <w:t xml:space="preserve">(2) Beantragt ein Beteiligter die Durchführung des streitigen Verfahrens, ist wie nach Eingang eines Antrags in einer Unterhaltssache weiter zu verfahren. Einwendungen nach § 252 gelten als Erwiderung.</w:t>
      </w:r>
    </w:p>
    <w:p>
      <w:r>
        <w:t xml:space="preserve">(3) Das Verfahren gilt als mit der Zustellung des Festsetzungsantrags (§ 251 Abs. 1 Satz 1) rechtshängig geworden.</w:t>
      </w:r>
    </w:p>
    <w:p>
      <w:r>
        <w:t xml:space="preserve">(4) Ist ein Festsetzungsbeschluss nach § 253 Absatz 1 Satz 2 vorausgegangen, soll für zukünftige wiederkehrende Leistungen der Unterhalt in einem Gesamtbetrag bestimmt und der Festsetzungsbeschluss insoweit aufgehoben werden.</w:t>
      </w:r>
    </w:p>
    <w:p>
      <w:r>
        <w:t xml:space="preserve">(5) Die Kosten des vereinfachten Verfahrens werden als Teil der Kosten des streitigen Verfahrens behandelt.</w:t>
      </w:r>
    </w:p>
    <w:p>
      <w:r>
        <w:t xml:space="preserve">(6) Wird der Antrag auf Durchführung des streitigen Verfahrens nicht vor Ablauf von sechs Monaten nach Zugang der Mitteilung nach § 254 gestellt, so gilt der Festsetzungsantrag, der über den Festsetzungsbeschluss nach § 253 Absatz 1 Satz 2 hinausgeht, oder der Festsetzungsantrag, der über die Verpflichtungserklärung des Antragsgegners nach § 252 Absatz 2 hinausgeht, als zurückgenommen.</w:t>
      </w:r>
    </w:p>
    <w:p>
      <w:r>
        <w:rPr>
          <w:color w:val="555555"/>
          <w:sz w:val="17"/>
        </w:rPr>
        <w:t xml:space="preserve">Zitiervorschlag: § 255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https://recht.nulegal.eu/gesetze/FamFG/255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