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250 FamFG — Antrag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Antrag muss enthalten:</w:t>
      </w:r>
    </w:p>
    <w:p>
      <w:pPr>
        <w:ind w:left="420"/>
      </w:pPr>
      <w:r>
        <w:t xml:space="preserve">1. die Bezeichnung der Beteiligten, ihrer gesetzlichen Vertreter und der Verfahrensbevollmächtigten;</w:t>
      </w:r>
    </w:p>
    <w:p>
      <w:pPr>
        <w:ind w:left="420"/>
      </w:pPr>
      <w:r>
        <w:t xml:space="preserve">2. die Bezeichnung des Gerichts, bei dem der Antrag gestellt wird;</w:t>
      </w:r>
    </w:p>
    <w:p>
      <w:pPr>
        <w:ind w:left="420"/>
      </w:pPr>
      <w:r>
        <w:t xml:space="preserve">3. die Angabe des Geburtsdatums des Kindes;</w:t>
      </w:r>
    </w:p>
    <w:p>
      <w:pPr>
        <w:ind w:left="420"/>
      </w:pPr>
      <w:r>
        <w:t xml:space="preserve">4. die Angabe, ab welchem Zeitpunkt Unterhalt verlangt wird;</w:t>
      </w:r>
    </w:p>
    <w:p>
      <w:pPr>
        <w:ind w:left="420"/>
      </w:pPr>
      <w:r>
        <w:t xml:space="preserve">5. für den Fall, dass Unterhalt für die Vergangenheit verlangt wird, die Angabe, wann die Voraussetzungen des § 1613 Abs. 1 oder Abs. 2 Nr. 2 des Bürgerlichen Gesetzbuchs eingetreten sind;</w:t>
      </w:r>
    </w:p>
    <w:p>
      <w:pPr>
        <w:ind w:left="420"/>
      </w:pPr>
      <w:r>
        <w:t xml:space="preserve">6. die Angabe der Höhe des verlangten Unterhalts;</w:t>
      </w:r>
    </w:p>
    <w:p>
      <w:pPr>
        <w:ind w:left="420"/>
      </w:pPr>
      <w:r>
        <w:t xml:space="preserve">7. die Angaben über Kindergeld und andere zu berücksichtigende Leistungen (§ 1612b oder § 1612c des Bürgerlichen Gesetzbuchs);</w:t>
      </w:r>
    </w:p>
    <w:p>
      <w:pPr>
        <w:ind w:left="420"/>
      </w:pPr>
      <w:r>
        <w:t xml:space="preserve">8. die Erklärung, dass zwischen dem Kind und dem Antragsgegner ein Eltern-Kind-Verhältnis nach den §§ 1591 bis 1593 des Bürgerlichen Gesetzbuchs besteht;</w:t>
      </w:r>
    </w:p>
    <w:p>
      <w:pPr>
        <w:ind w:left="420"/>
      </w:pPr>
      <w:r>
        <w:t xml:space="preserve">9. die Erklärung, dass das Kind nicht mit dem Antragsgegner in einem Haushalt lebt;</w:t>
      </w:r>
    </w:p>
    <w:p>
      <w:pPr>
        <w:ind w:left="420"/>
      </w:pPr>
      <w:r>
        <w:t xml:space="preserve">10. die Angabe der Höhe des Kindeseinkommens;</w:t>
      </w:r>
    </w:p>
    <w:p>
      <w:pPr>
        <w:ind w:left="420"/>
      </w:pPr>
      <w:r>
        <w:t xml:space="preserve">11. eine Erklärung darüber, ob der Anspruch aus eigenem, aus übergegangenem oder rückabgetretenem Recht geltend gemacht wird;</w:t>
      </w:r>
    </w:p>
    <w:p>
      <w:pPr>
        <w:ind w:left="420"/>
      </w:pPr>
      <w:r>
        <w:t xml:space="preserve">12. die Erklärung, dass Unterhalt nicht für Zeiträume verlangt wird, für die das Kind Hilfe nach dem Zwölften Buch Sozialgesetzbuch, Grundsicherungsgeld nach § 19 Absatz 1 Satz 2 des Zweiten Buches Sozialgesetzbuch, Hilfe zur Erziehung oder Eingliederungshilfe nach dem Achten Buch Sozialgesetzbuch, Leistungen nach dem Unterhaltsvorschussgesetz oder Unterhalt nach § 1607 Abs. 2 oder Abs. 3 des Bürgerlichen Gesetzbuchs erhalten hat, oder, soweit Unterhalt aus übergegangenem Recht oder nach § 94 Abs. 4 Satz 2 des Zwölften Buches Sozialgesetzbuch, § 33 Abs. 2 Satz 4 des Zweiten Buches Sozialgesetzbuch oder § 7 Abs. 4 Satz 1 des Unterhaltsvorschussgesetzes verlangt wird, die Erklärung, dass der beantragte Unterhalt die Leistung an oder für das Kind nicht übersteigt;</w:t>
      </w:r>
    </w:p>
    <w:p>
      <w:pPr>
        <w:ind w:left="420"/>
      </w:pPr>
      <w:r>
        <w:t xml:space="preserve">13. die Erklärung, dass die Festsetzung im vereinfachten Verfahren nicht nach § 249 Abs. 2 ausgeschlossen ist.</w:t>
      </w:r>
    </w:p>
    <w:p>
      <w:r>
        <w:t xml:space="preserve">(2) Entspricht der Antrag nicht den in Absatz 1 und den in § 249 bezeichneten Voraussetzungen, ist er zurückzuweisen. Vor der Zurückweisung ist der Antragsteller zu hören. Die Zurückweisung ist nicht anfechtbar.</w:t>
      </w:r>
    </w:p>
    <w:p>
      <w:r>
        <w:t xml:space="preserve">(3) Sind vereinfachte Verfahren anderer Kinder des Antragsgegners bei dem Gericht anhängig, hat es die Verfahren zum Zweck gleichzeitiger Entscheidung zu verbinden.</w:t>
      </w:r>
    </w:p>
    <w:p>
      <w:r>
        <w:rPr>
          <w:color w:val="555555"/>
          <w:sz w:val="17"/>
        </w:rPr>
        <w:t xml:space="preserve">Zitiervorschlag: § 250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