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249 FamFG — Statthaftigkeit des vereinfachten Verfahrens</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Auf Antrag wird der Unterhalt eines minderjährigen Kindes, das mit dem in Anspruch genommenen Elternteil nicht in einem Haushalt lebt, im vereinfachten Verfahren festgesetzt, soweit der Unterhalt vor Berücksichtigung der Leistungen nach § 1612b oder § 1612c des Bürgerlichen Gesetzbuchs das 1,2fache des Mindestunterhalts nach § 1612a Abs. 1 des Bürgerlichen Gesetzbuchs nicht übersteigt.</w:t>
      </w:r>
    </w:p>
    <w:p>
      <w:r>
        <w:t xml:space="preserve">(2) Das vereinfachte Verfahren ist nicht statthaft, wenn zum Zeitpunkt, in dem der Antrag oder eine Mitteilung über seinen Inhalt dem Antragsgegner zugestellt wird, über den Unterhaltsanspruch des Kindes entweder ein Gericht entschieden hat, ein gerichtliches Verfahren anhängig ist oder ein zur Zwangsvollstreckung geeigneter Schuldtitel errichtet worden ist.</w:t>
      </w:r>
    </w:p>
    <w:p>
      <w:r>
        <w:rPr>
          <w:color w:val="555555"/>
          <w:sz w:val="17"/>
        </w:rPr>
        <w:t xml:space="preserve">Zitiervorschlag: § 249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https://recht.nulegal.eu/gesetze/FamFG/249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