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248 FamFG — Einstweilige Anordnung bei Feststellung der Vaterschaft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Ein Antrag auf Erlass einer einstweiligen Anordnung, durch den ein Mann auf Zahlung von Unterhalt für ein Kind oder dessen Mutter in Anspruch genommen wird, ist, wenn die Vaterschaft des Mannes nach § 1592 Nr. 1 und 2 oder § 1593 des Bürgerlichen Gesetzbuchs nicht besteht, nur zulässig, wenn ein Verfahren auf Feststellung der Vaterschaft nach § 1600d des Bürgerlichen Gesetzbuchs anhängig ist.</w:t>
      </w:r>
    </w:p>
    <w:p>
      <w:r>
        <w:t xml:space="preserve">(2) Im Fall des Absatzes 1 ist das Gericht zuständig, bei dem das Verfahren auf Feststellung der Vaterschaft im ersten Rechtszug anhängig ist; während der Anhängigkeit beim Beschwerdegericht ist dieses zuständig.</w:t>
      </w:r>
    </w:p>
    <w:p>
      <w:r>
        <w:t xml:space="preserve">(3) § 1600d Abs. 2 und 3 des Bürgerlichen Gesetzbuchs gilt entsprechend.</w:t>
      </w:r>
    </w:p>
    <w:p>
      <w:r>
        <w:t xml:space="preserve">(4) Das Gericht kann auch anordnen, dass der Mann für den Unterhalt Sicherheit in bestimmter Höhe zu leisten hat.</w:t>
      </w:r>
    </w:p>
    <w:p>
      <w:r>
        <w:t xml:space="preserve">(5) Die einstweilige Anordnung tritt auch außer Kraft, wenn der Antrag auf Feststellung der Vaterschaft zurückgenommen oder rechtskräftig zurückgewiesen worden ist. In diesem Fall hat derjenige, der die einstweilige Anordnung erwirkt hat, dem Mann den Schaden zu ersetzen, der ihm aus der Vollziehung der einstweiligen Anordnung entstanden ist.</w:t>
      </w:r>
    </w:p>
    <w:p>
      <w:r>
        <w:rPr>
          <w:color w:val="555555"/>
          <w:sz w:val="17"/>
        </w:rPr>
        <w:t xml:space="preserve">Zitiervorschlag: § 248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