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246 FamFG — Besondere Vorschriften für die einstweilige Anordnung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kann durch einstweilige Anordnung abweichend von § 49 auf Antrag die Verpflichtung zur Zahlung von Unterhalt oder zur Zahlung eines Kostenvorschusses für ein gerichtliches Verfahren regeln.</w:t>
      </w:r>
    </w:p>
    <w:p>
      <w:r>
        <w:t xml:space="preserve">(2) Die Entscheidung ergeht auf Grund mündlicher Verhandlung, wenn dies zur Aufklärung des Sachverhalts oder für eine gütliche Beilegung des Verfahrens geboten erscheint.</w:t>
      </w:r>
    </w:p>
    <w:p>
      <w:r>
        <w:rPr>
          <w:color w:val="555555"/>
          <w:sz w:val="17"/>
        </w:rPr>
        <w:t xml:space="preserve">Zitiervorschlag: § 246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