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245 FamFG — Bezifferung dynamisierter Unterhaltstitel zur Zwangsvollstreckung im Ausland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Soll ein Unterhaltstitel, der den Unterhalt nach § 1612a des Bürgerlichen Gesetzbuchs als Prozentsatz des Mindestunterhalts festsetzt, im Ausland vollstreckt werden, ist auf Antrag der geschuldete Unterhalt auf dem Titel zu beziffern.</w:t>
      </w:r>
    </w:p>
    <w:p>
      <w:r>
        <w:t xml:space="preserve">(2) Für die Bezifferung sind die Gerichte, Behörden oder Notare zuständig, denen die Erteilung einer vollstreckbaren Ausfertigung des Titels obliegt.</w:t>
      </w:r>
    </w:p>
    <w:p>
      <w:r>
        <w:t xml:space="preserve">(3) Auf die Anfechtung der Entscheidung über die Bezifferung sind die Vorschriften über die Anfechtung der Entscheidung über die Erteilung einer Vollstreckungsklausel entsprechend anzuwenden.</w:t>
      </w:r>
    </w:p>
    <w:p>
      <w:r>
        <w:rPr>
          <w:color w:val="555555"/>
          <w:sz w:val="17"/>
        </w:rPr>
        <w:t xml:space="preserve">Zitiervorschlag: § 245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