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240 FamFG — Abänderung von Entscheidungen nach den §§ 237 und 253</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Enthält eine rechtskräftige Endentscheidung nach § 237 oder § 253 eine Verpflichtung zu künftig fällig werdenden wiederkehrenden Leistungen, kann jeder Teil die Abänderung beantragen, sofern nicht bereits ein Antrag auf Durchführung des streitigen Verfahrens nach § 255 gestellt worden ist.</w:t>
      </w:r>
    </w:p>
    <w:p>
      <w:r>
        <w:t xml:space="preserve">(2) Wird ein Antrag auf Herabsetzung des Unterhalts nicht innerhalb eines Monats nach Rechtskraft gestellt, so ist die Abänderung nur zulässig für die Zeit ab Rechtshängigkeit des Antrags. Ist innerhalb der Monatsfrist ein Antrag des anderen Beteiligten auf Erhöhung des Unterhalts anhängig geworden, läuft die Frist nicht vor Beendigung dieses Verfahrens ab. Der nach Ablauf der Frist gestellte Antrag auf Herabsetzung ist auch zulässig für die Zeit ab dem Ersten des auf ein entsprechendes Auskunfts- oder Verzichtsverlangen des Antragstellers folgenden Monats. § 238 Abs. 3 Satz 4 gilt entsprechend.</w:t>
      </w:r>
    </w:p>
    <w:p>
      <w:r>
        <w:rPr>
          <w:color w:val="555555"/>
          <w:sz w:val="17"/>
        </w:rPr>
        <w:t xml:space="preserve">Zitiervorschlag: § 240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