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FamFG — Anregung des Verfahrens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Verfahren von Amts wegen eingeleitet werden können, kann die Einleitung eines Verfahrens angeregt werden.</w:t>
      </w:r>
    </w:p>
    <w:p>
      <w:r>
        <w:t xml:space="preserve">(2) Folgt das Gericht der Anregung nach Absatz 1 nicht, hat es denjenigen, der die Einleitung angeregt hat, darüber zu unterrichten, soweit ein berechtigtes Interesse an der Unterrichtung ersichtlich ist.</w:t>
      </w:r>
    </w:p>
    <w:p>
      <w:r>
        <w:rPr>
          <w:color w:val="555555"/>
          <w:sz w:val="17"/>
        </w:rPr>
        <w:t xml:space="preserve">Zitiervorschlag: § 24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