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237 FamFG — Unterhalt bei Feststellung der Vaterschaft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Ein Antrag, durch den ein Mann auf Zahlung von Unterhalt für ein Kind in Anspruch genommen wird, ist, wenn die Vaterschaft des Mannes nach § 1592 Nr. 1 und 2 oder § 1593 des Bürgerlichen Gesetzbuchs nicht besteht, nur zulässig, wenn das Kind minderjährig und ein Verfahren auf Feststellung der Vaterschaft nach § 1600d des Bürgerlichen Gesetzbuchs anhängig ist.</w:t>
      </w:r>
    </w:p>
    <w:p>
      <w:r>
        <w:t xml:space="preserve">(2) Ausschließlich zuständig ist das Gericht, bei dem das Verfahren auf Feststellung der Vaterschaft im ersten Rechtszug anhängig ist.</w:t>
      </w:r>
    </w:p>
    <w:p>
      <w:r>
        <w:t xml:space="preserve">(3) Im Fall des Absatzes 1 kann Unterhalt lediglich in Höhe des Mindestunterhalts und gemäß den Altersstufen nach § 1612a Abs. 1 Satz 3 des Bürgerlichen Gesetzbuchs und unter Berücksichtigung der Leistungen nach § 1612b oder § 1612c des Bürgerlichen Gesetzbuchs beantragt werden. Das Kind kann einen geringeren Unterhalt verlangen. Im Übrigen kann in diesem Verfahren eine Herabsetzung oder Erhöhung des Unterhalts nicht verlangt werden.</w:t>
      </w:r>
    </w:p>
    <w:p>
      <w:r>
        <w:t xml:space="preserve">(4) Vor Rechtskraft des Beschlusses, der die Vaterschaft feststellt, oder vor Wirksamwerden der Anerkennung der Vaterschaft durch den Mann wird der Ausspruch, der die Verpflichtung zur Leistung des Unterhalts betrifft, nicht wirksam.</w:t>
      </w:r>
    </w:p>
    <w:p>
      <w:r>
        <w:rPr>
          <w:color w:val="555555"/>
          <w:sz w:val="17"/>
        </w:rPr>
        <w:t xml:space="preserve">Zitiervorschlag: § 237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