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236 FamFG — Verfahrensrechtliche Auskunftspflicht Dritter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ein Beteiligter innerhalb der hierfür gesetzten Frist einer Verpflichtung nach § 235 Abs. 1 nicht oder nicht vollständig nach, kann das Gericht, soweit dies für die Bemessung des Unterhalts von Bedeutung ist, über die Höhe der Einkünfte Auskunft und bestimmte Belege anfordern bei</w:t>
      </w:r>
    </w:p>
    <w:p>
      <w:pPr>
        <w:ind w:left="420"/>
      </w:pPr>
      <w:r>
        <w:t xml:space="preserve">1. Arbeitgebern,</w:t>
      </w:r>
    </w:p>
    <w:p>
      <w:pPr>
        <w:ind w:left="420"/>
      </w:pPr>
      <w:r>
        <w:t xml:space="preserve">2. Sozialleistungsträgern sowie der Künstlersozialkasse,</w:t>
      </w:r>
    </w:p>
    <w:p>
      <w:pPr>
        <w:ind w:left="420"/>
      </w:pPr>
      <w:r>
        <w:t xml:space="preserve">3. sonstigen Personen oder Stellen, die Leistungen zur Versorgung im Alter und bei verminderter Erwerbsfähigkeit sowie Leistungen zur Entschädigung und zum Nachteilsausgleich zahlen,</w:t>
      </w:r>
    </w:p>
    <w:p>
      <w:pPr>
        <w:ind w:left="420"/>
      </w:pPr>
      <w:r>
        <w:t xml:space="preserve">4. Versicherungsunternehmen oder</w:t>
      </w:r>
    </w:p>
    <w:p>
      <w:pPr>
        <w:ind w:left="420"/>
      </w:pPr>
      <w:r>
        <w:t xml:space="preserve">5. Finanzämtern.</w:t>
      </w:r>
    </w:p>
    <w:p>
      <w:r>
        <w:t xml:space="preserve">(2) Das Gericht hat nach Absatz 1 vorzugehen, wenn dessen Voraussetzungen vorliegen und der andere Beteiligte dies beantragt.</w:t>
      </w:r>
    </w:p>
    <w:p>
      <w:r>
        <w:t xml:space="preserve">(3) Die Anordnung nach Absatz 1 ist den Beteiligten mitzuteilen.</w:t>
      </w:r>
    </w:p>
    <w:p>
      <w:r>
        <w:t xml:space="preserve">(4) Die in Absatz 1 bezeichneten Personen und Stellen sind verpflichtet, der gerichtlichen Anordnung Folge zu leisten. § 390 der Zivilprozessordnung gilt entsprechend, wenn nicht eine Behörde betroffen ist.</w:t>
      </w:r>
    </w:p>
    <w:p>
      <w:r>
        <w:t xml:space="preserve">(5) Die Anordnungen des Gerichts nach dieser Vorschrift sind für die Beteiligten nicht selbständig anfechtbar.</w:t>
      </w:r>
    </w:p>
    <w:p>
      <w:r>
        <w:rPr>
          <w:color w:val="555555"/>
          <w:sz w:val="17"/>
        </w:rPr>
        <w:t xml:space="preserve">Zitiervorschlag: § 236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