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232 FamFG — Örtliche Zuständigkeit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Ausschließlich zuständig ist</w:t>
      </w:r>
    </w:p>
    <w:p>
      <w:pPr>
        <w:ind w:left="420"/>
      </w:pPr>
      <w:r>
        <w:t xml:space="preserve">1. für Unterhaltssachen, die die Unterhaltspflicht für ein gemeinschaftliches Kind der Ehegatten betreffen, mit Ausnahme des vereinfachten Verfahrens über den Unterhalt Minderjähriger, oder die die durch die Ehe begründete Unterhaltspflicht betreffen, während der Anhängigkeit einer Ehesache das Gericht, bei dem die Ehesache im ersten Rechtszug anhängig ist oder war;</w:t>
      </w:r>
    </w:p>
    <w:p>
      <w:pPr>
        <w:ind w:left="420"/>
      </w:pPr>
      <w:r>
        <w:t xml:space="preserve">2. für Unterhaltssachen, die die Unterhaltspflicht für ein minderjähriges Kind oder ein nach § 1603 Abs. 2 Satz 2 des Bürgerlichen Gesetzbuchs gleichgestelltes Kind betreffen, das Gericht, in dessen Bezirk das Kind oder der Elternteil, der auf Seiten des minderjährigen Kindes zu handeln befugt ist, seinen gewöhnlichen Aufenthalt hat; dies gilt nicht, wenn das Kind oder ein Elternteil seinen gewöhnlichen Aufenthalt im Ausland hat.</w:t>
      </w:r>
    </w:p>
    <w:p>
      <w:r>
        <w:t xml:space="preserve">(2) Eine Zuständigkeit nach Absatz 1 geht der ausschließlichen Zuständigkeit eines anderen Gerichts vor.</w:t>
      </w:r>
    </w:p>
    <w:p>
      <w:r>
        <w:t xml:space="preserve">(3) Sofern eine Zuständigkeit nach Absatz 1 nicht besteht, bestimmt sich die Zuständigkeit nach den Vorschriften der Zivilprozessordnung mit der Maßgabe, dass in den Vorschriften über den allgemeinen Gerichtsstand an die Stelle des Wohnsitzes der gewöhnliche Aufenthalt tritt. Nach Wahl des Antragstellers ist auch zuständig</w:t>
      </w:r>
    </w:p>
    <w:p>
      <w:pPr>
        <w:ind w:left="420"/>
      </w:pPr>
      <w:r>
        <w:t xml:space="preserve">1. für den Antrag eines Elternteils gegen den anderen Elternteil wegen eines Anspruchs, der die durch Ehe begründete gesetzliche Unterhaltspflicht betrifft, oder wegen eines Anspruchs nach § 1615l des Bürgerlichen Gesetzbuchs das Gericht, bei dem ein Verfahren über den Unterhalt des Kindes im ersten Rechtszug anhängig ist;</w:t>
      </w:r>
    </w:p>
    <w:p>
      <w:pPr>
        <w:ind w:left="420"/>
      </w:pPr>
      <w:r>
        <w:t xml:space="preserve">2. für den Antrag eines Kindes, durch den beide Eltern auf Erfüllung der Unterhaltspflicht in Anspruch genommen werden, das Gericht, das für den Antrag gegen einen Elternteil zuständig ist;</w:t>
      </w:r>
    </w:p>
    <w:p>
      <w:pPr>
        <w:ind w:left="420"/>
      </w:pPr>
      <w:r>
        <w:t xml:space="preserve">3. das Gericht, bei dem der Antragsteller seinen gewöhnlichen Aufenthalt hat, wenn der Antragsgegner im Inland keinen Gerichtsstand hat.</w:t>
      </w:r>
    </w:p>
    <w:p>
      <w:r>
        <w:rPr>
          <w:color w:val="555555"/>
          <w:sz w:val="17"/>
        </w:rPr>
        <w:t xml:space="preserve">Zitiervorschlag: § 232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