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231 FamFG — Unterhaltssachen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Unterhaltssachen sind Verfahren, die</w:t>
      </w:r>
    </w:p>
    <w:p>
      <w:pPr>
        <w:ind w:left="420"/>
      </w:pPr>
      <w:r>
        <w:t xml:space="preserve">1. die durch Verwandtschaft begründete gesetzliche Unterhaltspflicht,</w:t>
      </w:r>
    </w:p>
    <w:p>
      <w:pPr>
        <w:ind w:left="420"/>
      </w:pPr>
      <w:r>
        <w:t xml:space="preserve">2. die durch Ehe begründete gesetzliche Unterhaltspflicht oder</w:t>
      </w:r>
    </w:p>
    <w:p>
      <w:pPr>
        <w:ind w:left="420"/>
      </w:pPr>
      <w:r>
        <w:t xml:space="preserve">3. die Ansprüche nach</w:t>
      </w:r>
    </w:p>
    <w:p>
      <w:pPr>
        <w:ind w:left="780"/>
      </w:pPr>
      <w:r>
        <w:t xml:space="preserve">a) § 1305 Absatz 1 des Bürgerlichen Gesetzbuchs oder</w:t>
      </w:r>
    </w:p>
    <w:p>
      <w:pPr>
        <w:ind w:left="780"/>
      </w:pPr>
      <w:r>
        <w:t xml:space="preserve">b) § 1615l oder § 1615m des Bürgerlichen Gesetzbuchs</w:t>
      </w:r>
    </w:p>
    <w:p>
      <w:r>
        <w:t xml:space="preserve">betreffen.</w:t>
      </w:r>
    </w:p>
    <w:p>
      <w:r>
        <w:t xml:space="preserve">(2) Unterhaltssachen sind auch Verfahren nach § 3 Abs. 2 Satz 3 des Bundeskindergeldgesetzes und § 64 Abs. 2 Satz 3 des Einkommensteuergesetzes. Die §§ 235 bis 245 sind nicht anzuwenden.</w:t>
      </w:r>
    </w:p>
    <w:p>
      <w:r>
        <w:rPr>
          <w:color w:val="555555"/>
          <w:sz w:val="17"/>
        </w:rPr>
        <w:t xml:space="preserve">Zitiervorschlag: § 231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