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FamFG — Mitteilungen an die Familien- und Betreuungsgerichte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Wird infolge eines gerichtlichen Verfahrens eine Tätigkeit des Familien- oder Betreuungsgerichts erforderlich, hat das Gericht dem Familien- oder Betreuungsgericht Mitteilung zu machen.</w:t>
      </w:r>
    </w:p>
    <w:p>
      <w:r>
        <w:t xml:space="preserve">(2) Im Übrigen dürfen Gerichte und Behörden dem Familien- oder Betreuungsgericht personenbezogene Daten übermitteln, wenn deren Kenntnis aus ihrer Sicht für familien- oder betreuungsgerichtliche Maßnahmen erforderlich ist, soweit nicht für die übermittelnde Stelle erkennbar ist, dass schutzwürdige Interessen des Betroffenen an dem Ausschluss der Übermittlung das Schutzbedürfnis eines Minderjährigen oder Betreuten oder das öffentliche Interesse an der Übermittlung überwiegen. Die Übermittlung unterbleibt, wenn ihr eine besondere bundes- oder entsprechende landesgesetzliche Verwendungsregelung entgegensteht.</w:t>
      </w:r>
    </w:p>
    <w:p>
      <w:r>
        <w:rPr>
          <w:color w:val="555555"/>
          <w:sz w:val="17"/>
        </w:rPr>
        <w:t xml:space="preserve">Zitiervorschlag: § 22a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