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228 FamFG — Zulässigkeit der Beschwerde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Versorgungsausgleichssachen gilt § 61 nur für die Anfechtung einer Kostenentscheidung.</w:t>
      </w:r>
    </w:p>
    <w:p>
      <w:r>
        <w:rPr>
          <w:color w:val="555555"/>
          <w:sz w:val="17"/>
        </w:rPr>
        <w:t xml:space="preserve">Zitiervorschlag: § 228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