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 FamFG — Sonstige Abänderungen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Abänderung einer Entscheidung über Ausgleichsansprüche nach der Scheidung nach den §§ 20 bis 26 des Versorgungsausgleichsgesetzes ist § 48 Abs. 1 anzuwenden.</w:t>
      </w:r>
    </w:p>
    <w:p>
      <w:r>
        <w:t xml:space="preserve">(2) Auf eine Vereinbarung der Ehegatten über den Versorgungsausgleich sind die §§ 225 und 226 entsprechend anzuwenden, wenn die Abänderung nicht ausgeschlossen worden ist.</w:t>
      </w:r>
    </w:p>
    <w:p>
      <w:r>
        <w:rPr>
          <w:color w:val="555555"/>
          <w:sz w:val="17"/>
        </w:rPr>
        <w:t xml:space="preserve">Zitiervorschlag: § 227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