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225 FamFG — Zulässigkeit einer Abänderung des Wertausgleichs bei der Scheidung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Eine Abänderung des Wertausgleichs bei der Scheidung ist nur für Anrechte im Sinne des § 32 des Versorgungsausgleichsgesetzes zulässig.</w:t>
      </w:r>
    </w:p>
    <w:p>
      <w:r>
        <w:t xml:space="preserve">(2) Bei rechtlichen oder tatsächlichen Veränderungen nach dem Ende der Ehezeit, die auf den Ausgleichswert eines Anrechts zurückwirken und zu einer wesentlichen Wertänderung führen, ändert das Gericht auf Antrag die Entscheidung in Bezug auf dieses Anrecht ab.</w:t>
      </w:r>
    </w:p>
    <w:p>
      <w:r>
        <w:t xml:space="preserve">(3) Die Wertänderung nach Absatz 2 ist wesentlich, wenn sie mindestens 5 Prozent des bisherigen Ausgleichswerts des Anrechts beträgt und bei einem Rentenbetrag als maßgeblicher Bezugsgröße 1 Prozent, in allen anderen Fällen als Kapitalwert 120 Prozent der am Ende der Ehezeit maßgeblichen monatlichen Bezugsgröße nach § 18 Abs. 1 des Vierten Buches Sozialgesetzbuch übersteigt.</w:t>
      </w:r>
    </w:p>
    <w:p>
      <w:r>
        <w:t xml:space="preserve">(4) Eine Abänderung ist auch dann zulässig, wenn durch sie eine für die Versorgung der ausgleichsberechtigten Person maßgebende Wartezeit erfüllt wird.</w:t>
      </w:r>
    </w:p>
    <w:p>
      <w:r>
        <w:t xml:space="preserve">(5) Die Abänderung muss sich zugunsten eines Ehegatten oder seiner Hinterbliebenen auswirken.</w:t>
      </w:r>
    </w:p>
    <w:p>
      <w:r>
        <w:rPr>
          <w:color w:val="555555"/>
          <w:sz w:val="17"/>
        </w:rPr>
        <w:t xml:space="preserve">Zitiervorschlag: § 225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