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224 FamFG — Entscheidung über den Versorgungsausgleich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Endentscheidungen, die den Versorgungsausgleich betreffen, werden erst mit Rechtskraft wirksam.</w:t>
      </w:r>
    </w:p>
    <w:p>
      <w:r>
        <w:t xml:space="preserve">(2) Die Endentscheidung ist zu begründen.</w:t>
      </w:r>
    </w:p>
    <w:p>
      <w:r>
        <w:t xml:space="preserve">(3) Soweit ein Wertausgleich bei der Scheidung nach § 3 Abs. 3, den §§ 6, 18 Abs. 1 oder Abs. 2 oder § 27 des Versorgungsausgleichsgesetzes nicht stattfindet, stellt das Gericht dies in der Beschlussformel fest.</w:t>
      </w:r>
    </w:p>
    <w:p>
      <w:r>
        <w:t xml:space="preserve">(4) Verbleiben nach dem Wertausgleich bei der Scheidung noch Anrechte für Ausgleichsansprüche nach der Scheidung, benennt das Gericht diese Anrechte in der Begründung.</w:t>
      </w:r>
    </w:p>
    <w:p>
      <w:r>
        <w:rPr>
          <w:color w:val="555555"/>
          <w:sz w:val="17"/>
        </w:rPr>
        <w:t xml:space="preserve">Zitiervorschlag: § 224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https://recht.nulegal.eu/gesetze/FamFG/224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