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222 FamFG — Durchführung der externen Teilung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Wahlrechte nach § 14 Absatz 2, § 15 Absatz 1 und § 19 Absatz 2 Nummer 5 des Versorgungsausgleichsgesetzes sind in den vom Gericht zu setzenden Fristen auszuüben.</w:t>
      </w:r>
    </w:p>
    <w:p>
      <w:r>
        <w:t xml:space="preserve">(2) Übt die ausgleichsberechtigte Person ihr Wahlrecht nach § 15 Abs. 1 des Versorgungsausgleichsgesetzes aus, so hat sie in der nach Absatz 1 gesetzten Frist zugleich nachzuweisen, dass der ausgewählte Versorgungsträger mit der vorgesehenen Teilung einverstanden ist.</w:t>
      </w:r>
    </w:p>
    <w:p>
      <w:r>
        <w:t xml:space="preserve">(3) Das Gericht setzt in der Endentscheidung den nach § 14 Abs. 4 des Versorgungsausgleichsgesetzes zu zahlenden Kapitalbetrag fest.</w:t>
      </w:r>
    </w:p>
    <w:p>
      <w:r>
        <w:t xml:space="preserve">(4) Bei einer externen Teilung nach § 16 des Versorgungsausgleichsgesetzes sind die Absätze 1 bis 3 nicht anzuwenden.</w:t>
      </w:r>
    </w:p>
    <w:p>
      <w:r>
        <w:rPr>
          <w:color w:val="555555"/>
          <w:sz w:val="17"/>
        </w:rPr>
        <w:t xml:space="preserve">Zitiervorschlag: § 222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