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221 FamFG — Erörterung, Aussetzung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soll die Angelegenheit mit den Ehegatten in einem Termin erörtern.</w:t>
      </w:r>
    </w:p>
    <w:p>
      <w:r>
        <w:t xml:space="preserve">(2) Das Gericht hat das Verfahren auszusetzen, wenn ein Rechtsstreit über Bestand oder Höhe eines in den Versorgungsausgleich einzubeziehenden Anrechts anhängig ist.</w:t>
      </w:r>
    </w:p>
    <w:p>
      <w:r>
        <w:t xml:space="preserve">(3) Besteht Streit über ein Anrecht, ohne dass die Voraussetzungen des Absatzes 2 erfüllt sind, kann das Gericht das Verfahren aussetzen und einem oder beiden Ehegatten eine Frist zur Erhebung der Klage setzen. Wird diese Klage nicht oder nicht rechtzeitig erhoben, kann das Gericht das Vorbringen unberücksichtigt lassen, das mit der Klage hätte geltend gemacht werden können.</w:t>
      </w:r>
    </w:p>
    <w:p>
      <w:r>
        <w:rPr>
          <w:color w:val="555555"/>
          <w:sz w:val="17"/>
        </w:rPr>
        <w:t xml:space="preserve">Zitiervorschlag: § 221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