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 FamFG — Verfahrensrechtliche Auskunftspflicht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über Grund und Höhe der Anrechte Auskünfte einholen bei den Personen und Versorgungsträgern, die nach § 219 zu beteiligen sind, sowie bei sonstigen Stellen, die Auskünfte geben können.</w:t>
      </w:r>
    </w:p>
    <w:p>
      <w:r>
        <w:t xml:space="preserve">(2) Übersendet das Gericht ein Formular, ist dieses bei der Auskunft zu verwenden. Satz 1 gilt nicht für eine automatisiert erstellte Auskunft eines Versorgungsträgers.</w:t>
      </w:r>
    </w:p>
    <w:p>
      <w:r>
        <w:t xml:space="preserve">(3) Das Gericht kann anordnen, dass die Ehegatten oder ihre Hinterbliebenen oder Erben gegenüber dem Versorgungsträger Mitwirkungshandlungen zu erbringen haben, die für die Feststellung der in den Versorgungsausgleich einzubeziehenden Anrechte erforderlich sind.</w:t>
      </w:r>
    </w:p>
    <w:p>
      <w:r>
        <w:t xml:space="preserve">(4) Der Versorgungsträger ist verpflichtet, die nach § 5 des Versorgungsausgleichsgesetzes benötigten Werte einschließlich einer übersichtlichen und nachvollziehbaren Berechnung sowie der für die Teilung maßgeblichen Regelungen mitzuteilen. Das Gericht kann den Versorgungsträger von Amts wegen oder auf Antrag eines Beteiligten auffordern, die Einzelheiten der Wertermittlung zu erläutern.</w:t>
      </w:r>
    </w:p>
    <w:p>
      <w:r>
        <w:t xml:space="preserve">(5) Die in dieser Vorschrift genannten Personen und Stellen sind verpflichtet, gerichtliche Ersuchen und Anordnungen zu befolgen.</w:t>
      </w:r>
    </w:p>
    <w:p>
      <w:r>
        <w:rPr>
          <w:color w:val="555555"/>
          <w:sz w:val="17"/>
        </w:rPr>
        <w:t xml:space="preserve">Zitiervorschlag: § 220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