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FamFG — Antragsrücknahme; Beendigungserklärung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Antrag kann bis zur Rechtskraft der Endentscheidung zurückgenommen werden. Die Rücknahme bedarf nach Erlass der Endentscheidung der Zustimmung der übrigen Beteiligten.</w:t>
      </w:r>
    </w:p>
    <w:p>
      <w:r>
        <w:t xml:space="preserve">(2) Eine bereits ergangene, noch nicht rechtskräftige Endentscheidung wird durch die Antragsrücknahme wirkungslos, ohne dass es einer ausdrücklichen Aufhebung bedarf. Das Gericht stellt auf Antrag die nach Satz 1 eintretende Wirkung durch Beschluss fest. Der Beschluss ist nicht anfechtbar.</w:t>
      </w:r>
    </w:p>
    <w:p>
      <w:r>
        <w:t xml:space="preserve">(3) Eine Entscheidung über einen Antrag ergeht nicht, soweit sämtliche Beteiligte erklären, dass sie das Verfahren beenden wollen.</w:t>
      </w:r>
    </w:p>
    <w:p>
      <w:r>
        <w:t xml:space="preserve">(4) Die Absätze 2 und 3 gelten nicht in Verfahren, die von Amts wegen eingeleitet werden können.</w:t>
      </w:r>
    </w:p>
    <w:p>
      <w:r>
        <w:rPr>
          <w:color w:val="555555"/>
          <w:sz w:val="17"/>
        </w:rPr>
        <w:t xml:space="preserve">Zitiervorschlag: § 22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