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219 FamFG — Beteiligte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 beteiligen sind</w:t>
      </w:r>
    </w:p>
    <w:p>
      <w:pPr>
        <w:ind w:left="420"/>
      </w:pPr>
      <w:r>
        <w:t xml:space="preserve">1. die Ehegatten,</w:t>
      </w:r>
    </w:p>
    <w:p>
      <w:pPr>
        <w:ind w:left="420"/>
      </w:pPr>
      <w:r>
        <w:t xml:space="preserve">2. die Versorgungsträger, bei denen ein auszugleichendes Anrecht besteht,</w:t>
      </w:r>
    </w:p>
    <w:p>
      <w:pPr>
        <w:ind w:left="420"/>
      </w:pPr>
      <w:r>
        <w:t xml:space="preserve">3. die Versorgungsträger, bei denen ein Anrecht zum Zweck des Ausgleichs begründet werden soll, und</w:t>
      </w:r>
    </w:p>
    <w:p>
      <w:pPr>
        <w:ind w:left="420"/>
      </w:pPr>
      <w:r>
        <w:t xml:space="preserve">4. die Hinterbliebenen und die Erben der Ehegatten.</w:t>
      </w:r>
    </w:p>
    <w:p>
      <w:r>
        <w:rPr>
          <w:color w:val="555555"/>
          <w:sz w:val="17"/>
        </w:rPr>
        <w:t xml:space="preserve">Zitiervorschlag: § 219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https://recht.nulegal.eu/gesetze/FamFG/219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