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218 FamFG —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Ausschließlich zuständig ist in dieser Rangfolge:</w:t>
      </w:r>
    </w:p>
    <w:p>
      <w:pPr>
        <w:ind w:left="420"/>
      </w:pPr>
      <w:r>
        <w:t xml:space="preserve">1. während der Anhängigkeit einer Ehesache das Gericht, bei dem die Ehesache im ersten Rechtszug anhängig ist oder war;</w:t>
      </w:r>
    </w:p>
    <w:p>
      <w:pPr>
        <w:ind w:left="420"/>
      </w:pPr>
      <w:r>
        <w:t xml:space="preserve">2. das Gericht, in dessen Bezirk die Ehegatten ihren gemeinsamen gewöhnlichen Aufenthalt haben oder zuletzt gehabt haben, wenn ein Ehegatte dort weiterhin seinen gewöhnlichen Aufenthalt hat;</w:t>
      </w:r>
    </w:p>
    <w:p>
      <w:pPr>
        <w:ind w:left="420"/>
      </w:pPr>
      <w:r>
        <w:t xml:space="preserve">3. das Gericht, in dessen Bezirk ein Antragsgegner seinen gewöhnlichen Aufenthalt oder Sitz hat;</w:t>
      </w:r>
    </w:p>
    <w:p>
      <w:pPr>
        <w:ind w:left="420"/>
      </w:pPr>
      <w:r>
        <w:t xml:space="preserve">4. das Gericht, in dessen Bezirk ein Antragsteller seinen gewöhnlichen Aufenthalt oder Sitz hat;</w:t>
      </w:r>
    </w:p>
    <w:p>
      <w:pPr>
        <w:ind w:left="420"/>
      </w:pPr>
      <w:r>
        <w:t xml:space="preserve">5. das Amtsgericht Schöneberg in Berlin.</w:t>
      </w:r>
    </w:p>
    <w:p>
      <w:r>
        <w:rPr>
          <w:color w:val="555555"/>
          <w:sz w:val="17"/>
        </w:rPr>
        <w:t xml:space="preserve">Zitiervorschlag: § 218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